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jc w:val="center"/>
        <w:textAlignment w:val="top"/>
        <w:rPr>
          <w:rFonts w:eastAsia="Times New Roman"/>
          <w:color w:val="3E3E3E"/>
          <w:lang w:eastAsia="hu-HU"/>
        </w:rPr>
      </w:pPr>
      <w:r>
        <w:rPr>
          <w:rFonts w:eastAsia="Times New Roman"/>
          <w:b/>
          <w:bCs/>
          <w:color w:val="3E3E3E"/>
          <w:lang w:eastAsia="hu-HU"/>
        </w:rPr>
        <w:t>TÁJÉKOZTATÓ</w:t>
      </w:r>
    </w:p>
    <w:p>
      <w:pPr>
        <w:pStyle w:val="Normal"/>
        <w:shd w:val="clear" w:color="auto" w:fill="FFFFFF"/>
        <w:jc w:val="center"/>
        <w:textAlignment w:val="top"/>
        <w:rPr>
          <w:rFonts w:eastAsia="Times New Roman"/>
          <w:b/>
          <w:b/>
          <w:bCs/>
          <w:color w:val="3E3E3E"/>
          <w:lang w:eastAsia="hu-HU"/>
        </w:rPr>
      </w:pPr>
      <w:r>
        <w:rPr>
          <w:rFonts w:eastAsia="Times New Roman"/>
          <w:b/>
          <w:bCs/>
          <w:color w:val="3E3E3E"/>
          <w:lang w:eastAsia="hu-HU"/>
        </w:rPr>
        <w:t>helyi iparűzési adó devizában történő megfizetéséről II.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cs="Times New Roman" w:ascii="Times New Roman" w:hAnsi="Times New Roman"/>
          <w:sz w:val="24"/>
          <w:szCs w:val="24"/>
          <w:lang w:eastAsia="hu-HU"/>
        </w:rPr>
        <w:t xml:space="preserve">A </w:t>
      </w:r>
      <w:r>
        <w:rPr>
          <w:rFonts w:cs="Times New Roman" w:ascii="Times New Roman" w:hAnsi="Times New Roman"/>
          <w:b/>
          <w:sz w:val="24"/>
          <w:szCs w:val="24"/>
          <w:lang w:eastAsia="hu-HU"/>
        </w:rPr>
        <w:t>helyi iparűzési adó árfolyam elszámolásával kapcsolatban</w:t>
      </w:r>
      <w:r>
        <w:rPr>
          <w:rFonts w:cs="Times New Roman" w:ascii="Times New Roman" w:hAnsi="Times New Roman"/>
          <w:sz w:val="24"/>
          <w:szCs w:val="24"/>
          <w:lang w:eastAsia="hu-HU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eastAsia="hu-HU"/>
        </w:rPr>
        <w:t>az alábbiaktól tájékoztatjuk Önöket</w:t>
      </w:r>
      <w:r>
        <w:rPr>
          <w:rFonts w:cs="Times New Roman" w:ascii="Times New Roman" w:hAnsi="Times New Roman"/>
          <w:sz w:val="24"/>
          <w:szCs w:val="24"/>
          <w:lang w:eastAsia="hu-HU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cs="Times New Roman" w:ascii="Times New Roman" w:hAnsi="Times New Roman"/>
          <w:sz w:val="24"/>
          <w:szCs w:val="24"/>
          <w:lang w:eastAsia="hu-HU"/>
        </w:rPr>
        <w:t xml:space="preserve">Az adózó a helyi iparűzési adóelőleg és </w:t>
      </w:r>
      <w:r>
        <w:rPr>
          <w:rFonts w:cs="Times New Roman" w:ascii="Times New Roman" w:hAnsi="Times New Roman"/>
          <w:bCs/>
          <w:sz w:val="24"/>
          <w:szCs w:val="24"/>
          <w:lang w:eastAsia="hu-HU"/>
        </w:rPr>
        <w:t>helyi iparűzési adó fizetési kötelezettségét a Kincstár által</w:t>
      </w:r>
      <w:r>
        <w:rPr>
          <w:rFonts w:cs="Times New Roman" w:ascii="Times New Roman" w:hAnsi="Times New Roman"/>
          <w:sz w:val="24"/>
          <w:szCs w:val="24"/>
          <w:lang w:eastAsia="hu-HU"/>
        </w:rPr>
        <w:t xml:space="preserve"> az illetékes önkormányzat részére e célból euró vagy amerikai dollár devizanemben történő adófizetésre</w:t>
      </w:r>
      <w:r>
        <w:rPr>
          <w:rFonts w:cs="Times New Roman" w:ascii="Times New Roman" w:hAnsi="Times New Roman"/>
          <w:bCs/>
          <w:sz w:val="24"/>
          <w:szCs w:val="24"/>
          <w:lang w:eastAsia="hu-HU"/>
        </w:rPr>
        <w:t xml:space="preserve"> nyitott „</w:t>
      </w:r>
      <w:r>
        <w:rPr>
          <w:rFonts w:cs="Times New Roman" w:ascii="Times New Roman" w:hAnsi="Times New Roman"/>
          <w:sz w:val="24"/>
          <w:szCs w:val="24"/>
          <w:lang w:eastAsia="hu-HU"/>
        </w:rPr>
        <w:t>HIPA deviza beszedési technikai számla” elnevezésű</w:t>
      </w:r>
      <w:r>
        <w:rPr>
          <w:rFonts w:cs="Times New Roman" w:ascii="Times New Roman" w:hAnsi="Times New Roman"/>
          <w:bCs/>
          <w:sz w:val="24"/>
          <w:szCs w:val="24"/>
          <w:lang w:eastAsia="hu-HU"/>
        </w:rPr>
        <w:t xml:space="preserve"> számlára történő átutalással is teljesítheti.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hu-H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cs="Times New Roman" w:ascii="Times New Roman" w:hAnsi="Times New Roman"/>
          <w:sz w:val="24"/>
          <w:szCs w:val="24"/>
          <w:lang w:eastAsia="hu-HU"/>
        </w:rPr>
        <w:t xml:space="preserve">A Kincstár a fizetési kötelezettség teljesítése érdekében a számlájára utalt euró- vagy amerikai dollár összegnek a Magyar Nemzeti Bankhoz (a továbbiakban: MNB), mint a Kincstár számlavezető bankjához történő </w:t>
      </w:r>
      <w:r>
        <w:rPr>
          <w:rFonts w:cs="Times New Roman" w:ascii="Times New Roman" w:hAnsi="Times New Roman"/>
          <w:b/>
          <w:sz w:val="24"/>
          <w:szCs w:val="24"/>
          <w:lang w:eastAsia="hu-HU"/>
        </w:rPr>
        <w:t>beérkezésekor érvényes árfolyamon számított</w:t>
      </w:r>
      <w:r>
        <w:rPr>
          <w:rFonts w:cs="Times New Roman" w:ascii="Times New Roman" w:hAnsi="Times New Roman"/>
          <w:sz w:val="24"/>
          <w:szCs w:val="24"/>
          <w:lang w:eastAsia="hu-HU"/>
        </w:rPr>
        <w:t xml:space="preserve"> és a Magyar Nemzeti Bank mindenkor hatályos Általános Üzleti Feltételeiben</w:t>
      </w:r>
      <w:r>
        <w:rPr>
          <w:rStyle w:val="Lbjegyzethorgony"/>
          <w:rFonts w:cs="Times New Roman" w:ascii="Times New Roman" w:hAnsi="Times New Roman"/>
          <w:sz w:val="24"/>
          <w:szCs w:val="24"/>
          <w:lang w:eastAsia="hu-HU"/>
        </w:rPr>
        <w:footnoteReference w:id="2"/>
      </w:r>
      <w:r>
        <w:rPr>
          <w:rFonts w:cs="Times New Roman" w:ascii="Times New Roman" w:hAnsi="Times New Roman"/>
          <w:sz w:val="24"/>
          <w:szCs w:val="24"/>
          <w:lang w:eastAsia="hu-HU"/>
        </w:rPr>
        <w:t xml:space="preserve"> foglaltak szerint a Kincstár számláján jóváírt forintösszegét haladéktalanul átutalja az önkormányzat – pénzforgalmi szolgáltatójánál vezetett – helyi iparűzési adóbeszedési számlájára.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eastAsia="hu-HU"/>
        </w:rPr>
      </w:pPr>
      <w:r>
        <w:rPr>
          <w:rFonts w:cs="Times New Roman" w:ascii="Times New Roman" w:hAnsi="Times New Roman"/>
          <w:b/>
          <w:sz w:val="24"/>
          <w:szCs w:val="24"/>
          <w:lang w:eastAsia="hu-HU"/>
        </w:rPr>
        <w:t>Felhívjuk szíves figyelmüket, hogy a „beérkezéskor érvényes árfolyam” meghatározása az MNB által alkalmazott vonatkozó szabályozás (Általános Üzleti Feltételek 2. számú melléklete és a Hirdetmény</w:t>
      </w:r>
      <w:r>
        <w:rPr>
          <w:rStyle w:val="Lbjegyzethorgony"/>
          <w:rFonts w:cs="Times New Roman" w:ascii="Times New Roman" w:hAnsi="Times New Roman"/>
          <w:b/>
          <w:sz w:val="24"/>
          <w:szCs w:val="24"/>
          <w:lang w:eastAsia="hu-HU"/>
        </w:rPr>
        <w:footnoteReference w:id="3"/>
      </w:r>
      <w:r>
        <w:rPr>
          <w:rFonts w:cs="Times New Roman" w:ascii="Times New Roman" w:hAnsi="Times New Roman"/>
          <w:b/>
          <w:sz w:val="24"/>
          <w:szCs w:val="24"/>
          <w:lang w:eastAsia="hu-HU"/>
        </w:rPr>
        <w:t>) alapján történik.</w:t>
      </w:r>
      <w:r>
        <w:rPr>
          <w:rFonts w:cs="Times New Roman" w:ascii="Times New Roman" w:hAnsi="Times New Roman"/>
          <w:sz w:val="24"/>
          <w:szCs w:val="24"/>
          <w:lang w:eastAsia="hu-HU"/>
        </w:rPr>
        <w:t xml:space="preserve"> Az MNB Általános Üzleti Feltételei szerint a „beérkezéskor érvényes árfolyam” nem feltétlenül azonos a beérkezés napján az MNB által jegyzett árfolyammal. </w:t>
      </w:r>
      <w:r>
        <w:rPr>
          <w:rFonts w:cs="Times New Roman" w:ascii="Times New Roman" w:hAnsi="Times New Roman"/>
          <w:b/>
          <w:sz w:val="24"/>
          <w:szCs w:val="24"/>
          <w:lang w:eastAsia="hu-HU"/>
        </w:rPr>
        <w:t xml:space="preserve">Az MNB 12:00 óra előtti beérkezés esetén a beérkezés napját megelőző (T-1) napi hivatalos árfolyamot, 12:00 óra utáni beérkezés esetén pedig a beérkezés (T) napi árfolyamot alkalmazza, továbbá </w:t>
      </w:r>
      <w:r>
        <w:rPr>
          <w:rFonts w:cs="Times New Roman" w:ascii="Times New Roman" w:hAnsi="Times New Roman"/>
          <w:sz w:val="24"/>
          <w:szCs w:val="24"/>
          <w:lang w:eastAsia="hu-HU"/>
        </w:rPr>
        <w:t>az adott nemzetközi piaci helyzetnek megfelelően kialakított</w:t>
      </w:r>
      <w:r>
        <w:rPr>
          <w:rFonts w:cs="Times New Roman" w:ascii="Times New Roman" w:hAnsi="Times New Roman"/>
          <w:b/>
          <w:sz w:val="24"/>
          <w:szCs w:val="24"/>
          <w:lang w:eastAsia="hu-HU"/>
        </w:rPr>
        <w:t xml:space="preserve"> egyedi árfolyammal történő elszámolást végez 1 millió USD összeg feletti USD devizanemben teljesített, valamint 10 millió USD összeg feletti EUR devizanemben teljesített fizetési megbízások esetén.</w:t>
      </w:r>
      <w:r>
        <w:rPr>
          <w:rFonts w:cs="Times New Roman" w:ascii="Times New Roman" w:hAnsi="Times New Roman"/>
          <w:sz w:val="24"/>
          <w:szCs w:val="24"/>
          <w:lang w:eastAsia="hu-HU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before="0" w:after="300"/>
        <w:jc w:val="both"/>
        <w:textAlignment w:val="top"/>
        <w:rPr>
          <w:rFonts w:eastAsia="Times New Roman"/>
          <w:color w:val="3E3E3E"/>
          <w:lang w:eastAsia="hu-HU"/>
        </w:rPr>
      </w:pPr>
      <w:r>
        <w:rPr>
          <w:rFonts w:eastAsia="Times New Roman"/>
          <w:color w:val="3E3E3E"/>
          <w:lang w:eastAsia="hu-HU"/>
        </w:rPr>
        <w:t>Kulcs, 2023. 04. 27.</w:t>
      </w:r>
    </w:p>
    <w:p>
      <w:pPr>
        <w:pStyle w:val="Normal"/>
        <w:ind w:left="2832" w:firstLine="708"/>
        <w:rPr/>
      </w:pPr>
      <w:r>
        <w:rPr/>
        <w:t>Kulcs Községi Önkormányzat Adóhatósága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Üzleti Feltételek a Magyar Nemzeti Bank által vezetett bankszámlákra, valamint a forint és devizaforgalmi elszámolásokra vonatkozóan</w:t>
      </w:r>
    </w:p>
  </w:footnote>
  <w:footnote w:id="3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 xml:space="preserve">Hirdetmény a Magyar Nemzeti Bank által vezetett bankszámlákhoz kapcsolódó, a készpénzben végzett műveleteken kívüli fizetési megbízásokra vonatkozó díjakról, különdíjakról, jutalékokról, postai és egyéb költségekről, valamint ezek és a kamatok elszámolási rendjéről, továbbá a deviza-árfolyamrésről </w:t>
      </w:r>
    </w:p>
    <w:p>
      <w:pPr>
        <w:pStyle w:val="Lbjegyzet"/>
        <w:rPr/>
      </w:pPr>
      <w:hyperlink r:id="rId1">
        <w:r>
          <w:rPr>
            <w:rStyle w:val="Internethivatkozs"/>
          </w:rPr>
          <w:t>https://www.mnb.hu/penzforgalom/az-mnb-mint-bank-bankszamla-vezetesi-szolgaltatasok/altalanos-uzleti-feltetelek/jelenleg-hatalyos-uzleti-feltetelek-es-mellekletei</w:t>
        </w:r>
      </w:hyperlink>
    </w:p>
    <w:p>
      <w:pPr>
        <w:pStyle w:val="Lbjegyzet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35c8"/>
    <w:pPr>
      <w:widowControl/>
      <w:bidi w:val="0"/>
      <w:spacing w:before="0" w:after="0"/>
      <w:jc w:val="left"/>
    </w:pPr>
    <w:rPr>
      <w:rFonts w:ascii="Calibri" w:hAnsi="Calibri" w:cs="Calibri" w:eastAsia="Calibri"/>
      <w:color w:val="auto"/>
      <w:kern w:val="0"/>
      <w:sz w:val="22"/>
      <w:szCs w:val="22"/>
      <w:lang w:val="hu-H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bjegyzetszvegChar" w:customStyle="1">
    <w:name w:val="Lábjegyzetszöveg Char"/>
    <w:basedOn w:val="DefaultParagraphFont"/>
    <w:uiPriority w:val="99"/>
    <w:semiHidden/>
    <w:qFormat/>
    <w:rsid w:val="00ef35c8"/>
    <w:rPr>
      <w:rFonts w:ascii="Calibri" w:hAnsi="Calibri" w:cs="Calibri"/>
      <w:kern w:val="0"/>
      <w:sz w:val="20"/>
      <w:szCs w:val="20"/>
      <w14:ligatures w14:val="none"/>
    </w:rPr>
  </w:style>
  <w:style w:type="character" w:styleId="Lbjegyzethorgony">
    <w:name w:val="Lábjegyzet-horgony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f35c8"/>
    <w:rPr>
      <w:vertAlign w:val="superscript"/>
    </w:rPr>
  </w:style>
  <w:style w:type="character" w:styleId="Internethivatkozs">
    <w:name w:val="Internet-hivatkozás"/>
    <w:basedOn w:val="DefaultParagraphFont"/>
    <w:uiPriority w:val="99"/>
    <w:unhideWhenUsed/>
    <w:rsid w:val="00ef35c8"/>
    <w:rPr>
      <w:color w:val="0563C1" w:themeColor="hyperlink"/>
      <w:u w:val="single"/>
    </w:rPr>
  </w:style>
  <w:style w:type="character" w:styleId="Lbjegyzetkarakterek">
    <w:name w:val="Lábjegyzet-karakterek"/>
    <w:qFormat/>
    <w:rPr/>
  </w:style>
  <w:style w:type="character" w:styleId="Vgjegyzethorgony">
    <w:name w:val="Végjegyzet-horgony"/>
    <w:rPr>
      <w:vertAlign w:val="superscript"/>
    </w:rPr>
  </w:style>
  <w:style w:type="character" w:styleId="Vgjegyzetkarakterek">
    <w:name w:val="Végjegyzet-karakter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Lbjegyzet">
    <w:name w:val="Footnote Text"/>
    <w:basedOn w:val="Normal"/>
    <w:link w:val="LbjegyzetszvegChar"/>
    <w:uiPriority w:val="99"/>
    <w:semiHidden/>
    <w:unhideWhenUsed/>
    <w:rsid w:val="00ef35c8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.mnb.hu/penzforgalom/az-mnb-mint-bank-bankszamla-vezetesi-szolgaltatasok/altalanos-uzleti-feltetelek/jelenleg-hatalyos-uzleti-feltetelek-es-mellekletei" TargetMode="Externa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LibreOffice/7.3.2.2$Windows_X86_64 LibreOffice_project/49f2b1bff42cfccbd8f788c8dc32c1c309559be0</Application>
  <AppVersion>15.0000</AppVersion>
  <Pages>1</Pages>
  <Words>285</Words>
  <Characters>2182</Characters>
  <CharactersWithSpaces>2464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2023-04-27T12:39:00Z</dcterms:created>
  <dc:creator>Kulcsi Hivatal</dc:creator>
  <dc:description/>
  <dc:language>hu-HU</dc:language>
  <cp:lastModifiedBy>Kulcsi Hivatal</cp:lastModifiedBy>
  <dcterms:modified xsi:type="dcterms:W3CDTF">2023-04-27T12:42:00Z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