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B0" w:rsidRPr="00D161B0" w:rsidRDefault="00D161B0" w:rsidP="00D161B0">
      <w:pPr>
        <w:spacing w:before="100" w:beforeAutospacing="1" w:after="100" w:afterAutospacing="1" w:line="240" w:lineRule="auto"/>
        <w:outlineLvl w:val="1"/>
        <w:rPr>
          <w:rFonts w:eastAsia="Times New Roman" w:cs="Times New Roman"/>
          <w:b/>
          <w:bCs/>
          <w:sz w:val="36"/>
          <w:szCs w:val="36"/>
          <w:lang w:eastAsia="hu-HU"/>
        </w:rPr>
      </w:pPr>
      <w:r>
        <w:rPr>
          <w:rFonts w:eastAsia="Times New Roman" w:cs="Times New Roman"/>
          <w:b/>
          <w:bCs/>
          <w:sz w:val="36"/>
          <w:szCs w:val="36"/>
          <w:lang w:eastAsia="hu-HU"/>
        </w:rPr>
        <w:t>Á</w:t>
      </w:r>
      <w:r w:rsidRPr="00D161B0">
        <w:rPr>
          <w:rFonts w:eastAsia="Times New Roman" w:cs="Times New Roman"/>
          <w:b/>
          <w:bCs/>
          <w:sz w:val="36"/>
          <w:szCs w:val="36"/>
          <w:lang w:eastAsia="hu-HU"/>
        </w:rPr>
        <w:t>ltalános tudnivalók</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u w:val="single"/>
          <w:lang w:eastAsia="hu-HU"/>
        </w:rPr>
        <w:t xml:space="preserve">Tájékoztató </w:t>
      </w:r>
      <w:r w:rsidR="005E742E" w:rsidRPr="00090A18">
        <w:rPr>
          <w:rFonts w:eastAsia="Times New Roman" w:cs="Times New Roman"/>
          <w:color w:val="000000"/>
          <w:sz w:val="24"/>
          <w:szCs w:val="24"/>
          <w:u w:val="single"/>
          <w:lang w:eastAsia="hu-HU"/>
        </w:rPr>
        <w:t>Kulcs Község</w:t>
      </w:r>
      <w:r w:rsidRPr="00090A18">
        <w:rPr>
          <w:rFonts w:eastAsia="Times New Roman" w:cs="Times New Roman"/>
          <w:color w:val="000000"/>
          <w:sz w:val="24"/>
          <w:szCs w:val="24"/>
          <w:u w:val="single"/>
          <w:lang w:eastAsia="hu-HU"/>
        </w:rPr>
        <w:t xml:space="preserve"> által működtetett adónemekről</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adóztatást elsősorban a </w:t>
      </w:r>
      <w:r w:rsidRPr="00090A18">
        <w:rPr>
          <w:rFonts w:eastAsia="Times New Roman" w:cs="Times New Roman"/>
          <w:b/>
          <w:bCs/>
          <w:color w:val="000000"/>
          <w:sz w:val="24"/>
          <w:szCs w:val="24"/>
          <w:u w:val="single"/>
          <w:lang w:eastAsia="hu-HU"/>
        </w:rPr>
        <w:t>helyi adókról szóló 1990. évi C. törvény (Htv.)</w:t>
      </w:r>
      <w:r w:rsidRPr="00090A18">
        <w:rPr>
          <w:rFonts w:eastAsia="Times New Roman" w:cs="Times New Roman"/>
          <w:color w:val="000000"/>
          <w:sz w:val="24"/>
          <w:szCs w:val="24"/>
          <w:lang w:eastAsia="hu-HU"/>
        </w:rPr>
        <w:t> és az </w:t>
      </w:r>
      <w:r w:rsidRPr="00090A18">
        <w:rPr>
          <w:rFonts w:eastAsia="Times New Roman" w:cs="Times New Roman"/>
          <w:b/>
          <w:bCs/>
          <w:color w:val="000000"/>
          <w:sz w:val="24"/>
          <w:szCs w:val="24"/>
          <w:u w:val="single"/>
          <w:lang w:eastAsia="hu-HU"/>
        </w:rPr>
        <w:t>adózás rendjéről szóló 2003. évi XCII. törvény (Art.)</w:t>
      </w:r>
      <w:r w:rsidRPr="00090A18">
        <w:rPr>
          <w:rFonts w:eastAsia="Times New Roman" w:cs="Times New Roman"/>
          <w:color w:val="000000"/>
          <w:sz w:val="24"/>
          <w:szCs w:val="24"/>
          <w:lang w:eastAsia="hu-HU"/>
        </w:rPr>
        <w:t> szabályozzák. Az egyes adónemekhez tartozó információk (vonatkozó törvények, rendeletek száma és szövege) eléréséhez kattintson a kívánt adónem nevére.</w:t>
      </w:r>
    </w:p>
    <w:p w:rsidR="00D161B0" w:rsidRPr="00090A18" w:rsidRDefault="00D7724D" w:rsidP="00D161B0">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b/>
          <w:bCs/>
          <w:color w:val="000000"/>
          <w:sz w:val="24"/>
          <w:szCs w:val="24"/>
          <w:lang w:eastAsia="hu-HU"/>
        </w:rPr>
        <w:t>Gépjárműadó:</w:t>
      </w:r>
      <w:r w:rsidRPr="00090A18">
        <w:rPr>
          <w:rFonts w:eastAsia="Times New Roman" w:cs="Times New Roman"/>
          <w:bCs/>
          <w:color w:val="000000"/>
          <w:sz w:val="24"/>
          <w:szCs w:val="24"/>
          <w:lang w:eastAsia="hu-HU"/>
        </w:rPr>
        <w:t xml:space="preserve"> </w:t>
      </w:r>
      <w:r w:rsidR="00D161B0" w:rsidRPr="00090A18">
        <w:rPr>
          <w:rFonts w:eastAsia="Times New Roman" w:cs="Times New Roman"/>
          <w:color w:val="000000"/>
          <w:sz w:val="24"/>
          <w:szCs w:val="24"/>
          <w:lang w:eastAsia="hu-HU"/>
        </w:rPr>
        <w:t xml:space="preserve"> A gépjármű adóról </w:t>
      </w:r>
      <w:r w:rsidR="005E742E" w:rsidRPr="00090A18">
        <w:rPr>
          <w:rFonts w:eastAsia="Times New Roman" w:cs="Times New Roman"/>
          <w:color w:val="000000"/>
          <w:sz w:val="24"/>
          <w:szCs w:val="24"/>
          <w:lang w:eastAsia="hu-HU"/>
        </w:rPr>
        <w:t>szóló 1991. évi LXXXII. törvény</w:t>
      </w:r>
    </w:p>
    <w:p w:rsidR="00D161B0" w:rsidRPr="00090A18" w:rsidRDefault="00D161B0" w:rsidP="00D161B0">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b/>
          <w:bCs/>
          <w:color w:val="000000"/>
          <w:sz w:val="24"/>
          <w:szCs w:val="24"/>
          <w:lang w:eastAsia="hu-HU"/>
        </w:rPr>
        <w:t>Termőföld bérbeadásából származó jövedelemadó</w:t>
      </w:r>
      <w:r w:rsidRPr="00090A18">
        <w:rPr>
          <w:rFonts w:eastAsia="Times New Roman" w:cs="Times New Roman"/>
          <w:color w:val="000000"/>
          <w:sz w:val="24"/>
          <w:szCs w:val="24"/>
          <w:lang w:eastAsia="hu-HU"/>
        </w:rPr>
        <w:t> személyi jövedelemadóról szóló 1995. évi CXVII. törvé</w:t>
      </w:r>
      <w:r w:rsidR="005E742E" w:rsidRPr="00090A18">
        <w:rPr>
          <w:rFonts w:eastAsia="Times New Roman" w:cs="Times New Roman"/>
          <w:color w:val="000000"/>
          <w:sz w:val="24"/>
          <w:szCs w:val="24"/>
          <w:lang w:eastAsia="hu-HU"/>
        </w:rPr>
        <w:t>ny 17. §-a és az Art. 176. §-a.</w:t>
      </w:r>
    </w:p>
    <w:p w:rsidR="00D161B0" w:rsidRPr="00090A18" w:rsidRDefault="00D161B0" w:rsidP="00D161B0">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b/>
          <w:bCs/>
          <w:color w:val="000000"/>
          <w:sz w:val="24"/>
          <w:szCs w:val="24"/>
          <w:lang w:eastAsia="hu-HU"/>
        </w:rPr>
        <w:t>Építményadó</w:t>
      </w:r>
      <w:r w:rsidRPr="00090A18">
        <w:rPr>
          <w:rFonts w:eastAsia="Times New Roman" w:cs="Times New Roman"/>
          <w:color w:val="000000"/>
          <w:sz w:val="24"/>
          <w:szCs w:val="24"/>
          <w:lang w:eastAsia="hu-HU"/>
        </w:rPr>
        <w:t> </w:t>
      </w:r>
      <w:r w:rsidR="005E742E" w:rsidRPr="00090A18">
        <w:rPr>
          <w:rFonts w:eastAsia="Times New Roman" w:cs="Times New Roman"/>
          <w:color w:val="000000"/>
          <w:sz w:val="24"/>
          <w:szCs w:val="24"/>
          <w:lang w:eastAsia="hu-HU"/>
        </w:rPr>
        <w:t xml:space="preserve">Kulcs Község Önkormányzata Képviselőtestületének 13/2013. (XI.28.) ÖR számú rendelete </w:t>
      </w:r>
    </w:p>
    <w:p w:rsidR="00D161B0" w:rsidRPr="00090A18" w:rsidRDefault="005E742E" w:rsidP="00D161B0">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b/>
          <w:bCs/>
          <w:color w:val="000000"/>
          <w:sz w:val="24"/>
          <w:szCs w:val="24"/>
          <w:lang w:eastAsia="hu-HU"/>
        </w:rPr>
        <w:t>Telek</w:t>
      </w:r>
      <w:r w:rsidR="00D161B0" w:rsidRPr="00090A18">
        <w:rPr>
          <w:rFonts w:eastAsia="Times New Roman" w:cs="Times New Roman"/>
          <w:b/>
          <w:bCs/>
          <w:color w:val="000000"/>
          <w:sz w:val="24"/>
          <w:szCs w:val="24"/>
          <w:lang w:eastAsia="hu-HU"/>
        </w:rPr>
        <w:t>adó</w:t>
      </w:r>
      <w:r w:rsidR="00D161B0" w:rsidRPr="00090A18">
        <w:rPr>
          <w:rFonts w:eastAsia="Times New Roman" w:cs="Times New Roman"/>
          <w:color w:val="000000"/>
          <w:sz w:val="24"/>
          <w:szCs w:val="24"/>
          <w:u w:val="single"/>
          <w:lang w:eastAsia="hu-HU"/>
        </w:rPr>
        <w:t> </w:t>
      </w:r>
      <w:r w:rsidRPr="00090A18">
        <w:rPr>
          <w:rFonts w:eastAsia="Times New Roman" w:cs="Times New Roman"/>
          <w:color w:val="000000"/>
          <w:sz w:val="24"/>
          <w:szCs w:val="24"/>
          <w:lang w:eastAsia="hu-HU"/>
        </w:rPr>
        <w:t>Kulcs Község Önkormányzata Képviselőtestületének 12/2013. (XI.28.) ÖR számú rendelete</w:t>
      </w:r>
    </w:p>
    <w:p w:rsidR="00D161B0" w:rsidRPr="00090A18" w:rsidRDefault="00D161B0" w:rsidP="00D161B0">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b/>
          <w:bCs/>
          <w:color w:val="000000"/>
          <w:sz w:val="24"/>
          <w:szCs w:val="24"/>
          <w:lang w:eastAsia="hu-HU"/>
        </w:rPr>
        <w:t>Helyi iparűzési adó</w:t>
      </w:r>
      <w:r w:rsidRPr="00090A18">
        <w:rPr>
          <w:rFonts w:eastAsia="Times New Roman" w:cs="Times New Roman"/>
          <w:color w:val="000000"/>
          <w:sz w:val="24"/>
          <w:szCs w:val="24"/>
          <w:lang w:eastAsia="hu-HU"/>
        </w:rPr>
        <w:t> </w:t>
      </w:r>
      <w:r w:rsidR="005E742E" w:rsidRPr="00090A18">
        <w:rPr>
          <w:rFonts w:eastAsia="Times New Roman" w:cs="Times New Roman"/>
          <w:color w:val="000000"/>
          <w:sz w:val="24"/>
          <w:szCs w:val="24"/>
          <w:lang w:eastAsia="hu-HU"/>
        </w:rPr>
        <w:t>Kulcs Község Önkormányzata Képviselőtestületének 22/2011. (XII.21.) ÖR számú rendelete a helyi iparűzési adóról</w:t>
      </w:r>
    </w:p>
    <w:p w:rsidR="00D161B0" w:rsidRPr="00090A18" w:rsidRDefault="00D161B0" w:rsidP="00D161B0">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b/>
          <w:bCs/>
          <w:color w:val="000000"/>
          <w:sz w:val="24"/>
          <w:szCs w:val="24"/>
          <w:lang w:eastAsia="hu-HU"/>
        </w:rPr>
        <w:t>Idegenforgalmi adó</w:t>
      </w:r>
      <w:r w:rsidRPr="00090A18">
        <w:rPr>
          <w:rFonts w:eastAsia="Times New Roman" w:cs="Times New Roman"/>
          <w:color w:val="000000"/>
          <w:sz w:val="24"/>
          <w:szCs w:val="24"/>
          <w:lang w:eastAsia="hu-HU"/>
        </w:rPr>
        <w:t> </w:t>
      </w:r>
      <w:r w:rsidR="005E742E" w:rsidRPr="00090A18">
        <w:rPr>
          <w:rFonts w:eastAsia="Times New Roman" w:cs="Times New Roman"/>
          <w:color w:val="000000"/>
          <w:sz w:val="24"/>
          <w:szCs w:val="24"/>
          <w:lang w:eastAsia="hu-HU"/>
        </w:rPr>
        <w:t>Kulcs Község Önkormányzata Képviselőtestületének 23/2012. (XI.05.) ÖR számú rendelete az Idegenforgalmai adóról</w:t>
      </w:r>
    </w:p>
    <w:p w:rsidR="005E742E" w:rsidRPr="00090A18" w:rsidRDefault="005E742E" w:rsidP="00D161B0">
      <w:pPr>
        <w:shd w:val="clear" w:color="auto" w:fill="FFFFFF"/>
        <w:spacing w:before="100" w:beforeAutospacing="1" w:after="100" w:afterAutospacing="1" w:line="240" w:lineRule="auto"/>
        <w:rPr>
          <w:rFonts w:eastAsia="Times New Roman" w:cs="Times New Roman"/>
          <w:b/>
          <w:bCs/>
          <w:color w:val="000000"/>
          <w:sz w:val="24"/>
          <w:szCs w:val="24"/>
          <w:u w:val="single"/>
          <w:lang w:eastAsia="hu-HU"/>
        </w:rPr>
      </w:pPr>
    </w:p>
    <w:p w:rsidR="00D161B0" w:rsidRPr="00D161B0" w:rsidRDefault="00D161B0" w:rsidP="00D161B0">
      <w:pPr>
        <w:shd w:val="clear" w:color="auto" w:fill="FFFFFF"/>
        <w:spacing w:before="100" w:beforeAutospacing="1" w:after="100" w:afterAutospacing="1" w:line="240" w:lineRule="auto"/>
        <w:rPr>
          <w:rFonts w:ascii="Arial" w:eastAsia="Times New Roman" w:hAnsi="Arial" w:cs="Arial"/>
          <w:color w:val="000000"/>
          <w:sz w:val="27"/>
          <w:szCs w:val="27"/>
          <w:lang w:eastAsia="hu-HU"/>
        </w:rPr>
      </w:pPr>
      <w:r w:rsidRPr="00D161B0">
        <w:rPr>
          <w:rFonts w:ascii="Arial" w:eastAsia="Times New Roman" w:hAnsi="Arial" w:cs="Arial"/>
          <w:b/>
          <w:bCs/>
          <w:color w:val="000000"/>
          <w:sz w:val="27"/>
          <w:szCs w:val="27"/>
          <w:u w:val="single"/>
          <w:lang w:eastAsia="hu-HU"/>
        </w:rPr>
        <w:t>Adónaptár</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2146"/>
        <w:gridCol w:w="5503"/>
      </w:tblGrid>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Határidő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 </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január 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Építményadó</w:t>
            </w:r>
            <w:r w:rsidRPr="00D161B0">
              <w:rPr>
                <w:rFonts w:eastAsia="Times New Roman" w:cs="Times New Roman"/>
                <w:sz w:val="24"/>
                <w:szCs w:val="24"/>
                <w:lang w:eastAsia="hu-HU"/>
              </w:rPr>
              <w:br/>
              <w:t>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  Az adókötelezettséget érintő változások bevallása, bejelentése.</w:t>
            </w:r>
            <w:r w:rsidRPr="00D161B0">
              <w:rPr>
                <w:rFonts w:eastAsia="Times New Roman" w:cs="Times New Roman"/>
                <w:sz w:val="24"/>
                <w:szCs w:val="24"/>
                <w:lang w:eastAsia="hu-HU"/>
              </w:rPr>
              <w:br/>
              <w:t>  A kisadózó vállalkozások tételes adójára vonatkozó, egyszerűsített adóalap-megállapítás választásának bejelentése.</w:t>
            </w:r>
            <w:r w:rsidRPr="00D161B0">
              <w:rPr>
                <w:rFonts w:eastAsia="Times New Roman" w:cs="Times New Roman"/>
                <w:sz w:val="24"/>
                <w:szCs w:val="24"/>
                <w:lang w:eastAsia="hu-HU"/>
              </w:rPr>
              <w:br/>
              <w:t>  A kisadózó vállalkozások tételes adójára vonatkozó, egyszerűsített adóalap-megállapítást választó adózók bevallásának benyújtása adóalap-mentesség, kedvezmény érvényesítése céljából.</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február 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Termőföld bérbeadásából származó jövedelemadó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 tárgyévet megelőző adóévben a kifizető által levont adó bevallása.</w:t>
            </w:r>
          </w:p>
        </w:tc>
      </w:tr>
      <w:tr w:rsidR="00D161B0" w:rsidRPr="00D161B0" w:rsidTr="00D161B0">
        <w:trPr>
          <w:jc w:val="center"/>
        </w:trPr>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március 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Építményadó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Éves adó első részletének megfizetése.</w:t>
            </w:r>
          </w:p>
        </w:tc>
      </w:tr>
      <w:tr w:rsidR="00D161B0" w:rsidRPr="00D161B0" w:rsidTr="00D161B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1B0" w:rsidRPr="00D161B0" w:rsidRDefault="00D161B0" w:rsidP="00D161B0">
            <w:pPr>
              <w:spacing w:line="240" w:lineRule="auto"/>
              <w:rPr>
                <w:rFonts w:eastAsia="Times New Roman" w:cs="Times New Roman"/>
                <w:sz w:val="24"/>
                <w:szCs w:val="24"/>
                <w:lang w:eastAsia="hu-HU"/>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Helyi 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Adóelőleg megfizetése.</w:t>
            </w:r>
          </w:p>
        </w:tc>
      </w:tr>
      <w:tr w:rsidR="00D161B0" w:rsidRPr="00D161B0" w:rsidTr="00D161B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1B0" w:rsidRPr="00D161B0" w:rsidRDefault="00D161B0" w:rsidP="00D161B0">
            <w:pPr>
              <w:spacing w:line="240" w:lineRule="auto"/>
              <w:rPr>
                <w:rFonts w:eastAsia="Times New Roman" w:cs="Times New Roman"/>
                <w:sz w:val="24"/>
                <w:szCs w:val="24"/>
                <w:lang w:eastAsia="hu-HU"/>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Gépjárműadó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Éves adó első részletének megfizetése.</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március 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Termőföld bérbeadásából származó jövedelemadó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Magánszemély termőföld bérbeadásból származó – a tárgyévet megelőző évben szerzett – jövedelmének bevallása.</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március 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Talajterhelési díj</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 díj összegéről szóló bevallás benyújtása és a díj megfizetése.</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május 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 tárgyévet megelőző adóévben állandó jelleggel végzett tevékenység utáni adó bevallása.Az adóévre megállapított tényleges adó és az adóévben befizetett adóelőleg különbözetének megfizetése.</w:t>
            </w:r>
          </w:p>
        </w:tc>
      </w:tr>
      <w:tr w:rsidR="00D161B0" w:rsidRPr="00D161B0" w:rsidTr="00D161B0">
        <w:trPr>
          <w:jc w:val="center"/>
        </w:trPr>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szeptember 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Építményadó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Éves adó második részletének megfizetése.</w:t>
            </w:r>
          </w:p>
        </w:tc>
      </w:tr>
      <w:tr w:rsidR="00D161B0" w:rsidRPr="00D161B0" w:rsidTr="00D161B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1B0" w:rsidRPr="00D161B0" w:rsidRDefault="00D161B0" w:rsidP="00D161B0">
            <w:pPr>
              <w:spacing w:line="240" w:lineRule="auto"/>
              <w:rPr>
                <w:rFonts w:eastAsia="Times New Roman" w:cs="Times New Roman"/>
                <w:sz w:val="24"/>
                <w:szCs w:val="24"/>
                <w:lang w:eastAsia="hu-HU"/>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Helyi 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Adóelőleg megfizetése.</w:t>
            </w:r>
          </w:p>
        </w:tc>
      </w:tr>
      <w:tr w:rsidR="00D161B0" w:rsidRPr="00D161B0" w:rsidTr="00D161B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1B0" w:rsidRPr="00D161B0" w:rsidRDefault="00D161B0" w:rsidP="00D161B0">
            <w:pPr>
              <w:spacing w:line="240" w:lineRule="auto"/>
              <w:rPr>
                <w:rFonts w:eastAsia="Times New Roman" w:cs="Times New Roman"/>
                <w:sz w:val="24"/>
                <w:szCs w:val="24"/>
                <w:lang w:eastAsia="hu-HU"/>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Gépjárműadó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Éves adó második részletének megfizetése.</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december 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 társasági adóelőlegnek az adóévi várható fizetendő adó összegére történő kiegészítésére kötelezett vállalkozónak az iparűzési adóelőleg kiegészítése a várható éves fizetendő adó összegére.Az adóelőleg kiegészítéséről szóló adóbevallás benyújtása.</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december 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 kisadózó vállalkozások tételes adójára vonatkozó, egyszerűsített adóalap-megállapítás megszűnésének bejelentése.</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tárgyhó 12. napjáig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Termőföld bérbeadásából származó jövedelemadó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 kifizető által – a tárgyhót megelőző hónapban – levont adó megfizetése.</w:t>
            </w:r>
          </w:p>
        </w:tc>
      </w:tr>
      <w:tr w:rsidR="00D161B0" w:rsidRPr="00D161B0" w:rsidTr="00D161B0">
        <w:trPr>
          <w:jc w:val="center"/>
        </w:trPr>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tárgyhó 15. napjáig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Idegenforgalmi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Az előző hónapban beszedett adó befizetése és az adóbevallás benyújtása.</w:t>
            </w:r>
          </w:p>
        </w:tc>
      </w:tr>
      <w:tr w:rsidR="00D161B0" w:rsidRPr="00D161B0" w:rsidTr="00D161B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61B0" w:rsidRPr="00D161B0" w:rsidRDefault="00D161B0" w:rsidP="00D161B0">
            <w:pPr>
              <w:spacing w:line="240" w:lineRule="auto"/>
              <w:rPr>
                <w:rFonts w:eastAsia="Times New Roman" w:cs="Times New Roman"/>
                <w:sz w:val="24"/>
                <w:szCs w:val="24"/>
                <w:lang w:eastAsia="hu-HU"/>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Az ideiglenes jelleggel végzett – a tárgyhót megelőző hónapban befejezett – tevékenység utáni adó bevallása és megfizetése.</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negyedévet követő hó 12. napjáig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Termőföld bérbeadásából származó jövedelemadó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Az adó megfizetése magánszemély esetén.</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15 napon belül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Valamennyi adónem</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Adókötelezettséggel kapcsolatos változások bejelentése (pl. vállalkozási tevékenység indítása, megszüntetése, személyi, illetve a cégadatokban történt változás, továbbá minden olyan körülmény, amely az adózásra kihat).</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30 napon belül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Soron kívüli (záró) adóbevallás benyújtása végelszámolás, kényszertörlési eljárás alatt álló adózók, egyéni vállalkozónak minősülő magánszemélyek tevékenységének megszüntetése, szüneteltetése esetén.</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45 napon belül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Soron kívüli (záró) adóbevallás benyújtása felszámolás alatt álló adózók esetén</w:t>
            </w:r>
          </w:p>
        </w:tc>
      </w:tr>
      <w:tr w:rsidR="00D161B0" w:rsidRPr="00D161B0" w:rsidTr="00D161B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90 napon belül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Iparűzési adó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161B0" w:rsidRPr="00D161B0" w:rsidRDefault="00D161B0" w:rsidP="00D161B0">
            <w:pPr>
              <w:spacing w:line="240" w:lineRule="auto"/>
              <w:rPr>
                <w:rFonts w:eastAsia="Times New Roman" w:cs="Times New Roman"/>
                <w:sz w:val="24"/>
                <w:szCs w:val="24"/>
                <w:lang w:eastAsia="hu-HU"/>
              </w:rPr>
            </w:pPr>
            <w:r w:rsidRPr="00D161B0">
              <w:rPr>
                <w:rFonts w:eastAsia="Times New Roman" w:cs="Times New Roman"/>
                <w:sz w:val="24"/>
                <w:szCs w:val="24"/>
                <w:lang w:eastAsia="hu-HU"/>
              </w:rPr>
              <w:t>Soron kívüli (záró) adóbevallás benyújtása átalakulással (formaváltás, egyesülés, szétválás, beolvadás) megszűnő adózók esetén</w:t>
            </w:r>
          </w:p>
        </w:tc>
      </w:tr>
    </w:tbl>
    <w:p w:rsidR="00D161B0" w:rsidRPr="00C36B7A" w:rsidRDefault="00D161B0" w:rsidP="00D161B0">
      <w:pPr>
        <w:shd w:val="clear" w:color="auto" w:fill="FFFFFF"/>
        <w:spacing w:before="100" w:beforeAutospacing="1" w:after="100" w:afterAutospacing="1" w:line="240" w:lineRule="auto"/>
        <w:rPr>
          <w:rFonts w:eastAsia="Times New Roman" w:cs="Times New Roman"/>
          <w:b/>
          <w:color w:val="000000"/>
          <w:sz w:val="24"/>
          <w:szCs w:val="24"/>
          <w:lang w:eastAsia="hu-HU"/>
        </w:rPr>
      </w:pPr>
      <w:r w:rsidRPr="00C36B7A">
        <w:rPr>
          <w:rFonts w:eastAsia="Times New Roman" w:cs="Times New Roman"/>
          <w:b/>
          <w:bCs/>
          <w:color w:val="000000"/>
          <w:sz w:val="24"/>
          <w:szCs w:val="24"/>
          <w:u w:val="single"/>
          <w:lang w:eastAsia="hu-HU"/>
        </w:rPr>
        <w:t>Adóügyekkel kapcsolatos, egyéb információk</w:t>
      </w:r>
    </w:p>
    <w:p w:rsidR="00D161B0" w:rsidRPr="00C36B7A" w:rsidRDefault="00D161B0" w:rsidP="00D161B0">
      <w:pPr>
        <w:shd w:val="clear" w:color="auto" w:fill="FFFFFF"/>
        <w:spacing w:before="100" w:beforeAutospacing="1" w:after="100" w:afterAutospacing="1" w:line="240" w:lineRule="auto"/>
        <w:rPr>
          <w:rFonts w:eastAsia="Times New Roman" w:cs="Times New Roman"/>
          <w:b/>
          <w:color w:val="000000"/>
          <w:sz w:val="24"/>
          <w:szCs w:val="24"/>
          <w:lang w:eastAsia="hu-HU"/>
        </w:rPr>
      </w:pPr>
      <w:r w:rsidRPr="00C36B7A">
        <w:rPr>
          <w:rFonts w:eastAsia="Times New Roman" w:cs="Times New Roman"/>
          <w:b/>
          <w:iCs/>
          <w:color w:val="000000"/>
          <w:sz w:val="24"/>
          <w:szCs w:val="24"/>
          <w:u w:val="single"/>
          <w:lang w:eastAsia="hu-HU"/>
        </w:rPr>
        <w:t>Ügyintézési határidő</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Adóügyekben az ügyintézési határidő 30 nap, amely legfeljebb újabb 30 nappal hosszabbítható meg. Adóigazolási ügyekben az ügyintézési határidő 6 nap.</w:t>
      </w:r>
    </w:p>
    <w:p w:rsidR="00D161B0" w:rsidRPr="00C36B7A" w:rsidRDefault="00D161B0" w:rsidP="00D161B0">
      <w:pPr>
        <w:shd w:val="clear" w:color="auto" w:fill="FFFFFF"/>
        <w:spacing w:before="100" w:beforeAutospacing="1" w:after="100" w:afterAutospacing="1" w:line="240" w:lineRule="auto"/>
        <w:rPr>
          <w:rFonts w:eastAsia="Times New Roman" w:cs="Times New Roman"/>
          <w:b/>
          <w:color w:val="000000"/>
          <w:sz w:val="24"/>
          <w:szCs w:val="24"/>
          <w:lang w:eastAsia="hu-HU"/>
        </w:rPr>
      </w:pPr>
      <w:r w:rsidRPr="00C36B7A">
        <w:rPr>
          <w:rFonts w:eastAsia="Times New Roman" w:cs="Times New Roman"/>
          <w:b/>
          <w:iCs/>
          <w:color w:val="000000"/>
          <w:sz w:val="24"/>
          <w:szCs w:val="24"/>
          <w:u w:val="single"/>
          <w:lang w:eastAsia="hu-HU"/>
        </w:rPr>
        <w:t>Az adózó képviselete</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Magánszemélyt az adóhatóság előtt</w:t>
      </w:r>
      <w:r w:rsidRPr="00090A18">
        <w:rPr>
          <w:rFonts w:eastAsia="Times New Roman" w:cs="Times New Roman"/>
          <w:i/>
          <w:iCs/>
          <w:color w:val="000000"/>
          <w:sz w:val="24"/>
          <w:szCs w:val="24"/>
          <w:lang w:eastAsia="hu-HU"/>
        </w:rPr>
        <w:t> – </w:t>
      </w:r>
      <w:r w:rsidRPr="00090A18">
        <w:rPr>
          <w:rFonts w:eastAsia="Times New Roman" w:cs="Times New Roman"/>
          <w:color w:val="000000"/>
          <w:sz w:val="24"/>
          <w:szCs w:val="24"/>
          <w:lang w:eastAsia="hu-HU"/>
        </w:rPr>
        <w:t>ha nem kíván személyesen eljárni – törvényes képviselője, képviseleti jogosultságát igazoló ügyvéd, ügyvédi iroda, európai közösségi jogász, adószakértő, okleveles adószakértő, adótanácsadó, könyvelő, számviteli, könyvviteli szolgáltatásra vagy adótanácsadásra jogosult gazdasági társaság alkalmazottja, tagja, környezetvédelmi termékdíjjal kapcsolatos ügyben termékdíj ügyintéző szakképesítéssel rendelkező személy is, közokiratban vagy teljes bizonyító erejű magánokiratban foglalt eseti meghatalmazás, megbízás alapján más nagykorú személy képviselheti. Az egyéni vállalkozó magánszemélyt az adóhatóság, az adópolitikáért felelős miniszter által vezetett minisztérium előtt a képviseleti jogosultságát igazoló nagykorú alkalmazottja is képviselheti.</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Jogi személyt és jogi személyiséggel nem rendelkező egyéb szervezetet az adóhatóság előtt a rá vonatkozó szabályok szerint képviseleti joggal rendelkező személy vagy munkaviszonyban álló jogtanácsos, a képviseleti jogosultságát igazoló nagykorú tag, alkalmazott, megbízás alapján eljáró jogtanácsos, továbbá ügyvéd, ügyvédi iroda, európai közösségi jogász, adószakértő, okleveles adószakértő, adótanácsadó, könyvelő, számviteli, könyvviteli szolgáltatásra vagy adótanácsadásra jogosult gazdasági társaság, illetőleg egyéb szervezet alkalmazottja, tagja, környezetvédelmi termékdíjjal kapcsolatos ügyben termékdíj ügyintéző szakképesítéssel rendelkező személy is képviselheti.</w:t>
      </w:r>
    </w:p>
    <w:p w:rsidR="00D161B0" w:rsidRPr="00C36B7A" w:rsidRDefault="00D161B0" w:rsidP="00D161B0">
      <w:pPr>
        <w:shd w:val="clear" w:color="auto" w:fill="FFFFFF"/>
        <w:spacing w:before="100" w:beforeAutospacing="1" w:after="100" w:afterAutospacing="1" w:line="240" w:lineRule="auto"/>
        <w:rPr>
          <w:rFonts w:eastAsia="Times New Roman" w:cs="Times New Roman"/>
          <w:b/>
          <w:color w:val="000000"/>
          <w:sz w:val="24"/>
          <w:szCs w:val="24"/>
          <w:u w:val="single"/>
          <w:lang w:eastAsia="hu-HU"/>
        </w:rPr>
      </w:pPr>
      <w:r w:rsidRPr="00C36B7A">
        <w:rPr>
          <w:rFonts w:eastAsia="Times New Roman" w:cs="Times New Roman"/>
          <w:b/>
          <w:iCs/>
          <w:color w:val="000000"/>
          <w:sz w:val="24"/>
          <w:szCs w:val="24"/>
          <w:u w:val="single"/>
          <w:lang w:eastAsia="hu-HU"/>
        </w:rPr>
        <w:t>Az adókötelezettség</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adózó az adó és a költségvetési támogatás megállapítása, megfizetése (kiutalása) érdekében köteles jogszabályban vagy e törvényben előírt:</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bejelentésre, nyilatkozattételre,</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adómegállapításra,</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bevallásra,</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adófizetésre és adóelőleg fizetésére,</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bizonylat kiállítására és megőrzésére,</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nyilvántartás vezetésére (könyvvezetésre),</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adatszolgáltatásra,</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adólevonásra, adóbeszedésre,</w:t>
      </w:r>
    </w:p>
    <w:p w:rsidR="00D161B0" w:rsidRPr="00090A18" w:rsidRDefault="00D161B0" w:rsidP="00D161B0">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pénzforgalmi számlanyitásra és adóköteles tevékenységével összefüggő kifizetésnek az e törvényben meghatározott módon való teljesítésére.</w:t>
      </w:r>
    </w:p>
    <w:p w:rsidR="00D161B0" w:rsidRPr="00C36B7A" w:rsidRDefault="00D161B0" w:rsidP="00D161B0">
      <w:pPr>
        <w:shd w:val="clear" w:color="auto" w:fill="FFFFFF"/>
        <w:spacing w:before="100" w:beforeAutospacing="1" w:after="100" w:afterAutospacing="1" w:line="240" w:lineRule="auto"/>
        <w:rPr>
          <w:rFonts w:eastAsia="Times New Roman" w:cs="Times New Roman"/>
          <w:b/>
          <w:color w:val="000000"/>
          <w:sz w:val="24"/>
          <w:szCs w:val="24"/>
          <w:lang w:eastAsia="hu-HU"/>
        </w:rPr>
      </w:pPr>
      <w:r w:rsidRPr="00C36B7A">
        <w:rPr>
          <w:rFonts w:eastAsia="Times New Roman" w:cs="Times New Roman"/>
          <w:b/>
          <w:iCs/>
          <w:color w:val="000000"/>
          <w:sz w:val="24"/>
          <w:szCs w:val="24"/>
          <w:u w:val="single"/>
          <w:lang w:eastAsia="hu-HU"/>
        </w:rPr>
        <w:t>Fizetési könnyítés, adómérséklés</w:t>
      </w:r>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Amennyiben az adóhatóság által jogerős határozatban előírt fizetési kötelezettségeit az adózó valamilyen okból az esedékesség időpontjáig nem, vagy csak részben tudja teljesíteni, lehetőség van – a törvény által szabályozott módon – fizetési kedvezmény igénybevételére.</w:t>
      </w:r>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Fizetési halasztás és részletfizetés (a továbbiakban együtt: fizetési könnyítés) az adózó és az adó megfizetésére kötelezett személy kérelmére az adóhatóságnál nyilvántartott adóra engedélyezhető. A fizetési könnyítés abban az esetben engedélyezhető, ha a fizetési nehézség</w:t>
      </w:r>
    </w:p>
    <w:p w:rsidR="00D161B0" w:rsidRPr="00090A18" w:rsidRDefault="00D161B0" w:rsidP="00C36B7A">
      <w:pPr>
        <w:numPr>
          <w:ilvl w:val="0"/>
          <w:numId w:val="3"/>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 kérelmezőnek nem róható fel, vagy annak elkerülése érdekében úgy járt el, ahogy az az adott helyzetben tőle elvárható, továbbá</w:t>
      </w:r>
    </w:p>
    <w:p w:rsidR="00D161B0" w:rsidRPr="00C36B7A" w:rsidRDefault="00D161B0" w:rsidP="00C36B7A">
      <w:pPr>
        <w:numPr>
          <w:ilvl w:val="0"/>
          <w:numId w:val="3"/>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C36B7A">
        <w:rPr>
          <w:rFonts w:eastAsia="Times New Roman" w:cs="Times New Roman"/>
          <w:color w:val="000000"/>
          <w:sz w:val="24"/>
          <w:szCs w:val="24"/>
          <w:lang w:eastAsia="hu-HU"/>
        </w:rPr>
        <w:t>átmeneti jellegű, tehát az adó későbbi megfizetése valószínűsíthető.</w:t>
      </w:r>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C36B7A">
        <w:rPr>
          <w:rFonts w:eastAsia="Times New Roman" w:cs="Times New Roman"/>
          <w:color w:val="000000"/>
          <w:sz w:val="24"/>
          <w:szCs w:val="24"/>
          <w:lang w:eastAsia="hu-HU"/>
        </w:rPr>
        <w:t>A kérelem elbírálása és a feltételek meghatározása során figyelembe kell venni</w:t>
      </w:r>
      <w:r w:rsidRPr="00090A18">
        <w:rPr>
          <w:rFonts w:eastAsia="Times New Roman" w:cs="Times New Roman"/>
          <w:color w:val="000000"/>
          <w:sz w:val="24"/>
          <w:szCs w:val="24"/>
          <w:lang w:eastAsia="hu-HU"/>
        </w:rPr>
        <w:t xml:space="preserve"> a fizetési nehézség kialakulásának okait és körülményeit.</w:t>
      </w:r>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Nem engedélyezhető fizetési könnyítés a beszedett helyi adóra.</w:t>
      </w:r>
      <w:bookmarkStart w:id="0" w:name="_GoBack"/>
      <w:bookmarkEnd w:id="0"/>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Magánszemély esetében a fizetési könnyítés a fenti feltételek figyelmen kívül hagyásával is engedélyezhető, ha a kérelmező igazolja vagy valószínűsíti, hogy az adó azonnali vagy egyösszegű megfizetése családi, jövedelmi, vagyoni és szociális körülményeire is tekintettel aránytalanul súlyos megterhelést jelent.</w:t>
      </w:r>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adóhatóság a magánszemély kérelme alapján az őt terhelő adótartozást, valamint a bírság- vagy pótléktartozást mérsékelheti vagy elengedheti, ha azok megfizetése az adózó és a vele együtt élő közeli hozzátartozók megélhetését súlyosan veszélyezteti.</w:t>
      </w:r>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adóhatóság más személy (egyéni vállalkozó, gazdasági társaság) adóját nem engedheti el, és nem mérsékelheti.</w:t>
      </w:r>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adóhatóság a pótlék- és bírságtartozást kivételes méltányosságból mérsékelheti (elengedheti) különösen akkor, ha annak megfizetése a vállalkozási tevékenységet folytató magánszemély, jogi személy vagy egyéb szervezet gazdálkodási tevékenységét ellehetetlenítené. Az adóhatóság a mérséklést az adótartozás egy részének (vagy egészének) megfizetéséhez kötheti.</w:t>
      </w:r>
    </w:p>
    <w:p w:rsidR="00D161B0" w:rsidRPr="00090A18" w:rsidRDefault="00D161B0" w:rsidP="00C36B7A">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 kérelemhez kötöttség elve alapján az önkormányzati adóhatóság a kérelemben, illetve az adatlapon az adózó által kérelmezettől eltérő típusú fizetési kedvezményt a feltételek fennállása esetén sem engedélyezhet.</w:t>
      </w:r>
    </w:p>
    <w:p w:rsidR="00D161B0" w:rsidRPr="00C36B7A" w:rsidRDefault="00D161B0" w:rsidP="00D161B0">
      <w:pPr>
        <w:shd w:val="clear" w:color="auto" w:fill="FFFFFF"/>
        <w:spacing w:before="100" w:beforeAutospacing="1" w:after="100" w:afterAutospacing="1" w:line="240" w:lineRule="auto"/>
        <w:rPr>
          <w:rFonts w:eastAsia="Times New Roman" w:cs="Times New Roman"/>
          <w:b/>
          <w:color w:val="000000"/>
          <w:sz w:val="24"/>
          <w:szCs w:val="24"/>
          <w:lang w:eastAsia="hu-HU"/>
        </w:rPr>
      </w:pPr>
      <w:r w:rsidRPr="00C36B7A">
        <w:rPr>
          <w:rFonts w:eastAsia="Times New Roman" w:cs="Times New Roman"/>
          <w:b/>
          <w:iCs/>
          <w:color w:val="000000"/>
          <w:sz w:val="24"/>
          <w:szCs w:val="24"/>
          <w:u w:val="single"/>
          <w:lang w:eastAsia="hu-HU"/>
        </w:rPr>
        <w:t>Iparűzési adóelőleg módosítása</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adóelőleg-fizetési kötelezettséget az adózó önadózás útján teljesíti. Az adózó az adóelőleg módosítását kérheti az adóhatóságtól, ha előlegét az előző időszak (év, negyedév, félév) adatai alapján fizeti, és számításai szerint adója nem éri el az előző időszak adatai alapján fizetendő adóelőleg összegét. Az adóelőleg módosítását az esedékesség időpontjáig benyújtott kérelemben lehet kérni.</w:t>
      </w:r>
    </w:p>
    <w:p w:rsidR="00D161B0" w:rsidRPr="00C36B7A" w:rsidRDefault="00D161B0" w:rsidP="00D161B0">
      <w:pPr>
        <w:shd w:val="clear" w:color="auto" w:fill="FFFFFF"/>
        <w:spacing w:before="100" w:beforeAutospacing="1" w:after="100" w:afterAutospacing="1" w:line="240" w:lineRule="auto"/>
        <w:rPr>
          <w:rFonts w:eastAsia="Times New Roman" w:cs="Times New Roman"/>
          <w:b/>
          <w:color w:val="000000"/>
          <w:sz w:val="24"/>
          <w:szCs w:val="24"/>
          <w:lang w:eastAsia="hu-HU"/>
        </w:rPr>
      </w:pPr>
      <w:r w:rsidRPr="00C36B7A">
        <w:rPr>
          <w:rFonts w:eastAsia="Times New Roman" w:cs="Times New Roman"/>
          <w:b/>
          <w:iCs/>
          <w:color w:val="000000"/>
          <w:sz w:val="24"/>
          <w:szCs w:val="24"/>
          <w:u w:val="single"/>
          <w:lang w:eastAsia="hu-HU"/>
        </w:rPr>
        <w:t>Az adóigazgatási eljárásokhoz kapcsolódó adóhatósági illetékfizetési kötelezettségek</w:t>
      </w:r>
    </w:p>
    <w:tbl>
      <w:tblPr>
        <w:tblW w:w="0" w:type="auto"/>
        <w:jc w:val="center"/>
        <w:tblCellMar>
          <w:left w:w="0" w:type="dxa"/>
          <w:right w:w="0" w:type="dxa"/>
        </w:tblCellMar>
        <w:tblLook w:val="04A0" w:firstRow="1" w:lastRow="0" w:firstColumn="1" w:lastColumn="0" w:noHBand="0" w:noVBand="1"/>
      </w:tblPr>
      <w:tblGrid>
        <w:gridCol w:w="4325"/>
        <w:gridCol w:w="2807"/>
        <w:gridCol w:w="2090"/>
      </w:tblGrid>
      <w:tr w:rsidR="00D161B0" w:rsidRPr="00090A18" w:rsidTr="00D161B0">
        <w:trPr>
          <w:jc w:val="center"/>
        </w:trPr>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A gazdálkodó szervezet – ide nem értve az egyéni vállalkozót – fizetési kötelezettségének halasztására, részletekben történő megfizetésére, mérséklésére, illetve elengedésére irányuló eljárása</w:t>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jc w:val="center"/>
              <w:rPr>
                <w:rFonts w:eastAsia="Times New Roman" w:cs="Times New Roman"/>
                <w:sz w:val="24"/>
                <w:szCs w:val="24"/>
                <w:lang w:eastAsia="hu-HU"/>
              </w:rPr>
            </w:pPr>
            <w:r w:rsidRPr="00090A18">
              <w:rPr>
                <w:rFonts w:eastAsia="Times New Roman" w:cs="Times New Roman"/>
                <w:sz w:val="24"/>
                <w:szCs w:val="24"/>
                <w:lang w:eastAsia="hu-HU"/>
              </w:rPr>
              <w:t>10.000 Ft</w:t>
            </w:r>
          </w:p>
        </w:tc>
      </w:tr>
      <w:tr w:rsidR="00D161B0" w:rsidRPr="00090A18" w:rsidTr="00D161B0">
        <w:trPr>
          <w:jc w:val="center"/>
        </w:trPr>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A természetes személy – ide értve az egyéni vállalkozót – fizetési kötelezettségének halasztására, részletekben történő megfizetésére, mérséklésére, illetve elengedésére irányuló eljárása</w:t>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jc w:val="center"/>
              <w:rPr>
                <w:rFonts w:eastAsia="Times New Roman" w:cs="Times New Roman"/>
                <w:sz w:val="24"/>
                <w:szCs w:val="24"/>
                <w:lang w:eastAsia="hu-HU"/>
              </w:rPr>
            </w:pPr>
            <w:r w:rsidRPr="00090A18">
              <w:rPr>
                <w:rFonts w:eastAsia="Times New Roman" w:cs="Times New Roman"/>
                <w:sz w:val="24"/>
                <w:szCs w:val="24"/>
                <w:lang w:eastAsia="hu-HU"/>
              </w:rPr>
              <w:t>Illetékmentes</w:t>
            </w:r>
          </w:p>
        </w:tc>
      </w:tr>
      <w:tr w:rsidR="00D161B0" w:rsidRPr="00090A18" w:rsidTr="00D161B0">
        <w:trPr>
          <w:jc w:val="center"/>
        </w:trPr>
        <w:tc>
          <w:tcPr>
            <w:tcW w:w="0" w:type="auto"/>
            <w:vMerge w:val="restart"/>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Adóigazolás (nemleges adóigazolás), együttes igazolás (nemleges együttes igazolás) kiadása iránti eljárás</w:t>
            </w:r>
            <w:r w:rsidR="00090A18">
              <w:rPr>
                <w:rFonts w:eastAsia="Times New Roman" w:cs="Times New Roman"/>
                <w:sz w:val="24"/>
                <w:szCs w:val="24"/>
                <w:lang w:eastAsia="hu-HU"/>
              </w:rPr>
              <w:t xml:space="preserve">                </w:t>
            </w:r>
            <w:r w:rsidR="00090A18">
              <w:rPr>
                <w:rFonts w:eastAsia="Times New Roman" w:cs="Times New Roman"/>
                <w:sz w:val="24"/>
                <w:szCs w:val="24"/>
                <w:lang w:eastAsia="hu-HU"/>
              </w:rPr>
              <w:sym w:font="Symbol" w:char="F0DE"/>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jc w:val="center"/>
              <w:rPr>
                <w:rFonts w:eastAsia="Times New Roman" w:cs="Times New Roman"/>
                <w:sz w:val="24"/>
                <w:szCs w:val="24"/>
                <w:lang w:eastAsia="hu-HU"/>
              </w:rPr>
            </w:pPr>
            <w:r w:rsidRPr="00090A18">
              <w:rPr>
                <w:rFonts w:eastAsia="Times New Roman" w:cs="Times New Roman"/>
                <w:sz w:val="24"/>
                <w:szCs w:val="24"/>
                <w:lang w:eastAsia="hu-HU"/>
              </w:rPr>
              <w:t>3.000 Ft</w:t>
            </w:r>
          </w:p>
        </w:tc>
      </w:tr>
      <w:tr w:rsidR="00D161B0" w:rsidRPr="00090A18" w:rsidTr="00D161B0">
        <w:trPr>
          <w:jc w:val="center"/>
        </w:trPr>
        <w:tc>
          <w:tcPr>
            <w:tcW w:w="0" w:type="auto"/>
            <w:vMerge/>
            <w:vAlign w:val="center"/>
            <w:hideMark/>
          </w:tcPr>
          <w:p w:rsidR="00D161B0" w:rsidRPr="00090A18" w:rsidRDefault="00D161B0" w:rsidP="00D161B0">
            <w:pPr>
              <w:spacing w:line="240" w:lineRule="auto"/>
              <w:rPr>
                <w:rFonts w:eastAsia="Times New Roman" w:cs="Times New Roman"/>
                <w:sz w:val="24"/>
                <w:szCs w:val="24"/>
                <w:lang w:eastAsia="hu-HU"/>
              </w:rPr>
            </w:pP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Ha egy beadványban több igazolást kérnek, az első példány után 3000 forint illetéket kell fizetni. Ugyanabban az eljárásban kiadott minden további, az első példánnyal azonos tartalmú igazolás után nem kell illetéket fizetni.</w:t>
            </w:r>
          </w:p>
        </w:tc>
      </w:tr>
      <w:tr w:rsidR="00D161B0" w:rsidRPr="00090A18" w:rsidTr="00D161B0">
        <w:trPr>
          <w:jc w:val="center"/>
        </w:trPr>
        <w:tc>
          <w:tcPr>
            <w:tcW w:w="0" w:type="auto"/>
            <w:vMerge w:val="restart"/>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Másolat, kivonat</w:t>
            </w:r>
            <w:r w:rsidR="00090A18">
              <w:rPr>
                <w:rFonts w:eastAsia="Times New Roman" w:cs="Times New Roman"/>
                <w:sz w:val="24"/>
                <w:szCs w:val="24"/>
                <w:lang w:eastAsia="hu-HU"/>
              </w:rPr>
              <w:t xml:space="preserve">                                                                                                                                                            </w:t>
            </w:r>
            <w:r w:rsidR="00090A18">
              <w:rPr>
                <w:rFonts w:eastAsia="Times New Roman" w:cs="Times New Roman"/>
                <w:sz w:val="24"/>
                <w:szCs w:val="24"/>
                <w:lang w:eastAsia="hu-HU"/>
              </w:rPr>
              <w:sym w:font="Symbol" w:char="F0DE"/>
            </w:r>
          </w:p>
        </w:tc>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Magyar nyelvű másolat</w:t>
            </w:r>
          </w:p>
        </w:tc>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100 Ft/oldal</w:t>
            </w:r>
          </w:p>
        </w:tc>
      </w:tr>
      <w:tr w:rsidR="00D161B0" w:rsidRPr="00090A18" w:rsidTr="00D161B0">
        <w:trPr>
          <w:jc w:val="center"/>
        </w:trPr>
        <w:tc>
          <w:tcPr>
            <w:tcW w:w="0" w:type="auto"/>
            <w:vMerge/>
            <w:vAlign w:val="center"/>
            <w:hideMark/>
          </w:tcPr>
          <w:p w:rsidR="00D161B0" w:rsidRPr="00090A18" w:rsidRDefault="00D161B0" w:rsidP="00D161B0">
            <w:pPr>
              <w:spacing w:line="240" w:lineRule="auto"/>
              <w:rPr>
                <w:rFonts w:eastAsia="Times New Roman" w:cs="Times New Roman"/>
                <w:sz w:val="24"/>
                <w:szCs w:val="24"/>
                <w:lang w:eastAsia="hu-HU"/>
              </w:rPr>
            </w:pPr>
          </w:p>
        </w:tc>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Nem hitelesített fénymásolat</w:t>
            </w:r>
          </w:p>
        </w:tc>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100 Ft/oldal</w:t>
            </w:r>
          </w:p>
        </w:tc>
      </w:tr>
      <w:tr w:rsidR="00D161B0" w:rsidRPr="00090A18" w:rsidTr="00D161B0">
        <w:trPr>
          <w:jc w:val="center"/>
        </w:trPr>
        <w:tc>
          <w:tcPr>
            <w:tcW w:w="0" w:type="auto"/>
            <w:vMerge/>
            <w:vAlign w:val="center"/>
            <w:hideMark/>
          </w:tcPr>
          <w:p w:rsidR="00D161B0" w:rsidRPr="00090A18" w:rsidRDefault="00D161B0" w:rsidP="00D161B0">
            <w:pPr>
              <w:spacing w:line="240" w:lineRule="auto"/>
              <w:rPr>
                <w:rFonts w:eastAsia="Times New Roman" w:cs="Times New Roman"/>
                <w:sz w:val="24"/>
                <w:szCs w:val="24"/>
                <w:lang w:eastAsia="hu-HU"/>
              </w:rPr>
            </w:pPr>
          </w:p>
        </w:tc>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Az adóbevallás másolata</w:t>
            </w:r>
          </w:p>
        </w:tc>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Illetékmentes</w:t>
            </w:r>
          </w:p>
        </w:tc>
      </w:tr>
      <w:tr w:rsidR="00D161B0" w:rsidRPr="00090A18" w:rsidTr="00D161B0">
        <w:trPr>
          <w:jc w:val="center"/>
        </w:trPr>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Első fokú határozat elleni fellebbezés</w:t>
            </w:r>
            <w:r w:rsidR="00090A18">
              <w:rPr>
                <w:rFonts w:eastAsia="Times New Roman" w:cs="Times New Roman"/>
                <w:sz w:val="24"/>
                <w:szCs w:val="24"/>
                <w:lang w:eastAsia="hu-HU"/>
              </w:rPr>
              <w:t xml:space="preserve">                                                                                                                           </w:t>
            </w:r>
            <w:r w:rsidR="00090A18">
              <w:rPr>
                <w:rFonts w:eastAsia="Times New Roman" w:cs="Times New Roman"/>
                <w:sz w:val="24"/>
                <w:szCs w:val="24"/>
                <w:lang w:eastAsia="hu-HU"/>
              </w:rPr>
              <w:sym w:font="Symbol" w:char="F0DE"/>
            </w:r>
            <w:r w:rsidR="00090A18">
              <w:rPr>
                <w:rFonts w:eastAsia="Times New Roman" w:cs="Times New Roman"/>
                <w:sz w:val="24"/>
                <w:szCs w:val="24"/>
                <w:lang w:eastAsia="hu-HU"/>
              </w:rPr>
              <w:t xml:space="preserve">                                                                                                                             </w:t>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A fellebbezéssel érintett vagy vitatott összeg minden megkezdett 10 000 forintja után 400 forint, min. 5000 forint, max. 500.000 forint.</w:t>
            </w:r>
          </w:p>
        </w:tc>
      </w:tr>
      <w:tr w:rsidR="00D161B0" w:rsidRPr="00090A18" w:rsidTr="00D161B0">
        <w:trPr>
          <w:jc w:val="center"/>
        </w:trPr>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A gazdálkodó szervezet – ide nem értve az egyéni vállalkozót – által az adóhatóságnál, illetve a vámhatóságnál kezdeményezett fizetési könnyítésre, adómérséklésre irányuló fellebbezés illetéke</w:t>
            </w:r>
            <w:r w:rsidR="00090A18">
              <w:rPr>
                <w:rFonts w:eastAsia="Times New Roman" w:cs="Times New Roman"/>
                <w:sz w:val="24"/>
                <w:szCs w:val="24"/>
                <w:lang w:eastAsia="hu-HU"/>
              </w:rPr>
              <w:t xml:space="preserve">                                                                              </w:t>
            </w:r>
            <w:r w:rsidR="00090A18">
              <w:rPr>
                <w:rFonts w:eastAsia="Times New Roman" w:cs="Times New Roman"/>
                <w:sz w:val="24"/>
                <w:szCs w:val="24"/>
                <w:lang w:eastAsia="hu-HU"/>
              </w:rPr>
              <w:sym w:font="Symbol" w:char="F0DE"/>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A fellebbezéssel érintett vagy vitatott összeg minden megkezdett 10.000 forintja után 400 forint, de legalább 15.000 forint, legfeljebb 500.000 forint.</w:t>
            </w:r>
          </w:p>
        </w:tc>
      </w:tr>
      <w:tr w:rsidR="00D161B0" w:rsidRPr="00090A18" w:rsidTr="00D161B0">
        <w:trPr>
          <w:jc w:val="center"/>
        </w:trPr>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Végzés elleni fellebbezés</w:t>
            </w:r>
            <w:r w:rsidR="00090A18">
              <w:rPr>
                <w:rFonts w:eastAsia="Times New Roman" w:cs="Times New Roman"/>
                <w:sz w:val="24"/>
                <w:szCs w:val="24"/>
                <w:lang w:eastAsia="hu-HU"/>
              </w:rPr>
              <w:t xml:space="preserve">                                                                                                            </w:t>
            </w:r>
            <w:r w:rsidR="00090A18">
              <w:rPr>
                <w:rFonts w:eastAsia="Times New Roman" w:cs="Times New Roman"/>
                <w:sz w:val="24"/>
                <w:szCs w:val="24"/>
                <w:lang w:eastAsia="hu-HU"/>
              </w:rPr>
              <w:sym w:font="Symbol" w:char="F0DE"/>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jc w:val="center"/>
              <w:rPr>
                <w:rFonts w:eastAsia="Times New Roman" w:cs="Times New Roman"/>
                <w:sz w:val="24"/>
                <w:szCs w:val="24"/>
                <w:lang w:eastAsia="hu-HU"/>
              </w:rPr>
            </w:pPr>
            <w:r w:rsidRPr="00090A18">
              <w:rPr>
                <w:rFonts w:eastAsia="Times New Roman" w:cs="Times New Roman"/>
                <w:sz w:val="24"/>
                <w:szCs w:val="24"/>
                <w:lang w:eastAsia="hu-HU"/>
              </w:rPr>
              <w:t>3.000 Ft</w:t>
            </w:r>
          </w:p>
        </w:tc>
      </w:tr>
      <w:tr w:rsidR="00D161B0" w:rsidRPr="00090A18" w:rsidTr="00D161B0">
        <w:trPr>
          <w:jc w:val="center"/>
        </w:trPr>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Végrehajtási kifogás</w:t>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jc w:val="center"/>
              <w:rPr>
                <w:rFonts w:eastAsia="Times New Roman" w:cs="Times New Roman"/>
                <w:sz w:val="24"/>
                <w:szCs w:val="24"/>
                <w:lang w:eastAsia="hu-HU"/>
              </w:rPr>
            </w:pPr>
            <w:r w:rsidRPr="00090A18">
              <w:rPr>
                <w:rFonts w:eastAsia="Times New Roman" w:cs="Times New Roman"/>
                <w:sz w:val="24"/>
                <w:szCs w:val="24"/>
                <w:lang w:eastAsia="hu-HU"/>
              </w:rPr>
              <w:t>5.000 Ft</w:t>
            </w:r>
          </w:p>
        </w:tc>
      </w:tr>
      <w:tr w:rsidR="00D161B0" w:rsidRPr="00090A18" w:rsidTr="00D161B0">
        <w:trPr>
          <w:jc w:val="center"/>
        </w:trPr>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Végrehajtási kifogás tárgyában hozott végzés elleni fellebbezés</w:t>
            </w:r>
            <w:r w:rsidR="00090A18">
              <w:rPr>
                <w:rFonts w:eastAsia="Times New Roman" w:cs="Times New Roman"/>
                <w:sz w:val="24"/>
                <w:szCs w:val="24"/>
                <w:lang w:eastAsia="hu-HU"/>
              </w:rPr>
              <w:t xml:space="preserve">                                               </w:t>
            </w:r>
            <w:r w:rsidR="00090A18">
              <w:rPr>
                <w:rFonts w:eastAsia="Times New Roman" w:cs="Times New Roman"/>
                <w:sz w:val="24"/>
                <w:szCs w:val="24"/>
                <w:lang w:eastAsia="hu-HU"/>
              </w:rPr>
              <w:sym w:font="Symbol" w:char="F0DE"/>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jc w:val="center"/>
              <w:rPr>
                <w:rFonts w:eastAsia="Times New Roman" w:cs="Times New Roman"/>
                <w:sz w:val="24"/>
                <w:szCs w:val="24"/>
                <w:lang w:eastAsia="hu-HU"/>
              </w:rPr>
            </w:pPr>
            <w:r w:rsidRPr="00090A18">
              <w:rPr>
                <w:rFonts w:eastAsia="Times New Roman" w:cs="Times New Roman"/>
                <w:sz w:val="24"/>
                <w:szCs w:val="24"/>
                <w:lang w:eastAsia="hu-HU"/>
              </w:rPr>
              <w:t>10.000 Ft</w:t>
            </w:r>
          </w:p>
        </w:tc>
      </w:tr>
      <w:tr w:rsidR="00D161B0" w:rsidRPr="00090A18" w:rsidTr="00D161B0">
        <w:trPr>
          <w:jc w:val="center"/>
        </w:trPr>
        <w:tc>
          <w:tcPr>
            <w:tcW w:w="0" w:type="auto"/>
            <w:tcMar>
              <w:top w:w="75" w:type="dxa"/>
              <w:left w:w="75" w:type="dxa"/>
              <w:bottom w:w="75" w:type="dxa"/>
              <w:right w:w="75" w:type="dxa"/>
            </w:tcMar>
            <w:vAlign w:val="center"/>
            <w:hideMark/>
          </w:tcPr>
          <w:p w:rsidR="00D161B0" w:rsidRPr="00090A18" w:rsidRDefault="00D161B0" w:rsidP="00D161B0">
            <w:pPr>
              <w:spacing w:line="240" w:lineRule="auto"/>
              <w:rPr>
                <w:rFonts w:eastAsia="Times New Roman" w:cs="Times New Roman"/>
                <w:sz w:val="24"/>
                <w:szCs w:val="24"/>
                <w:lang w:eastAsia="hu-HU"/>
              </w:rPr>
            </w:pPr>
            <w:r w:rsidRPr="00090A18">
              <w:rPr>
                <w:rFonts w:eastAsia="Times New Roman" w:cs="Times New Roman"/>
                <w:sz w:val="24"/>
                <w:szCs w:val="24"/>
                <w:lang w:eastAsia="hu-HU"/>
              </w:rPr>
              <w:t>Adóelőleg módosítás</w:t>
            </w:r>
            <w:r w:rsidR="00090A18">
              <w:rPr>
                <w:rFonts w:eastAsia="Times New Roman" w:cs="Times New Roman"/>
                <w:sz w:val="24"/>
                <w:szCs w:val="24"/>
                <w:lang w:eastAsia="hu-HU"/>
              </w:rPr>
              <w:t xml:space="preserve">                                                                                                                 </w:t>
            </w:r>
            <w:r w:rsidR="00090A18">
              <w:rPr>
                <w:rFonts w:eastAsia="Times New Roman" w:cs="Times New Roman"/>
                <w:sz w:val="24"/>
                <w:szCs w:val="24"/>
                <w:lang w:eastAsia="hu-HU"/>
              </w:rPr>
              <w:sym w:font="Symbol" w:char="F0DE"/>
            </w:r>
          </w:p>
        </w:tc>
        <w:tc>
          <w:tcPr>
            <w:tcW w:w="0" w:type="auto"/>
            <w:gridSpan w:val="2"/>
            <w:tcMar>
              <w:top w:w="75" w:type="dxa"/>
              <w:left w:w="75" w:type="dxa"/>
              <w:bottom w:w="75" w:type="dxa"/>
              <w:right w:w="75" w:type="dxa"/>
            </w:tcMar>
            <w:vAlign w:val="center"/>
            <w:hideMark/>
          </w:tcPr>
          <w:p w:rsidR="00D161B0" w:rsidRPr="00090A18" w:rsidRDefault="00D161B0" w:rsidP="00D161B0">
            <w:pPr>
              <w:spacing w:line="240" w:lineRule="auto"/>
              <w:jc w:val="center"/>
              <w:rPr>
                <w:rFonts w:eastAsia="Times New Roman" w:cs="Times New Roman"/>
                <w:sz w:val="24"/>
                <w:szCs w:val="24"/>
                <w:lang w:eastAsia="hu-HU"/>
              </w:rPr>
            </w:pPr>
            <w:r w:rsidRPr="00090A18">
              <w:rPr>
                <w:rFonts w:eastAsia="Times New Roman" w:cs="Times New Roman"/>
                <w:sz w:val="24"/>
                <w:szCs w:val="24"/>
                <w:lang w:eastAsia="hu-HU"/>
              </w:rPr>
              <w:t>Illetékmentes</w:t>
            </w:r>
          </w:p>
        </w:tc>
      </w:tr>
    </w:tbl>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eljárási illetékkötelezettség az eljárás megindítása iránti kérelem előterjesztésekor keletkezik.</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illetékkötelezettség akkor is fennáll, ha a hatóság</w:t>
      </w:r>
    </w:p>
    <w:p w:rsidR="00D161B0" w:rsidRPr="00090A18" w:rsidRDefault="00D161B0" w:rsidP="00D161B0">
      <w:pPr>
        <w:numPr>
          <w:ilvl w:val="0"/>
          <w:numId w:val="4"/>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 kérelemnek részben vagy egészben helyt ad, vagy azt elutasítja;</w:t>
      </w:r>
    </w:p>
    <w:p w:rsidR="00D161B0" w:rsidRPr="00090A18" w:rsidRDefault="00D161B0" w:rsidP="00D161B0">
      <w:pPr>
        <w:numPr>
          <w:ilvl w:val="0"/>
          <w:numId w:val="4"/>
        </w:num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color w:val="000000"/>
          <w:sz w:val="24"/>
          <w:szCs w:val="24"/>
          <w:lang w:eastAsia="hu-HU"/>
        </w:rPr>
        <w:t>az eljárást megszünteti.</w:t>
      </w:r>
    </w:p>
    <w:p w:rsidR="00D161B0" w:rsidRPr="00090A18" w:rsidRDefault="00D161B0" w:rsidP="00D161B0">
      <w:pPr>
        <w:shd w:val="clear" w:color="auto" w:fill="FFFFFF"/>
        <w:spacing w:before="100" w:beforeAutospacing="1" w:after="100" w:afterAutospacing="1" w:line="240" w:lineRule="auto"/>
        <w:rPr>
          <w:rFonts w:eastAsia="Times New Roman" w:cs="Times New Roman"/>
          <w:color w:val="000000"/>
          <w:sz w:val="24"/>
          <w:szCs w:val="24"/>
          <w:lang w:eastAsia="hu-HU"/>
        </w:rPr>
      </w:pPr>
      <w:r w:rsidRPr="00090A18">
        <w:rPr>
          <w:rFonts w:eastAsia="Times New Roman" w:cs="Times New Roman"/>
          <w:b/>
          <w:bCs/>
          <w:color w:val="000000"/>
          <w:sz w:val="24"/>
          <w:szCs w:val="24"/>
          <w:lang w:eastAsia="hu-HU"/>
        </w:rPr>
        <w:t>Az illetékekről szóló 1990. évi XCIII. törvény 31. § (3) bekezdése értelmében, ha egy beadványban terjesztenek elő több kérelmet, az eljárási illetéket kérelmenként (eljárásonként) kell megfizetni. Pl. fizetési könnyítés (részletfizetés, fizetéshalasztás), valamint adómérséklés egyidejű kérelmezése esetén a gazdasági társaságoknak 10.000-10.000 Ft-ot kell fizetni.</w:t>
      </w:r>
    </w:p>
    <w:p w:rsidR="00A93C3C" w:rsidRPr="00090A18" w:rsidRDefault="00A93C3C">
      <w:pPr>
        <w:rPr>
          <w:rFonts w:cs="Times New Roman"/>
          <w:sz w:val="24"/>
          <w:szCs w:val="24"/>
        </w:rPr>
      </w:pPr>
    </w:p>
    <w:sectPr w:rsidR="00A93C3C" w:rsidRPr="00090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693"/>
    <w:multiLevelType w:val="multilevel"/>
    <w:tmpl w:val="C95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C49A8"/>
    <w:multiLevelType w:val="multilevel"/>
    <w:tmpl w:val="D31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C34BC"/>
    <w:multiLevelType w:val="multilevel"/>
    <w:tmpl w:val="8340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76AFA"/>
    <w:multiLevelType w:val="multilevel"/>
    <w:tmpl w:val="B270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B0"/>
    <w:rsid w:val="00090A18"/>
    <w:rsid w:val="002823FE"/>
    <w:rsid w:val="005E742E"/>
    <w:rsid w:val="00666F90"/>
    <w:rsid w:val="00A93C3C"/>
    <w:rsid w:val="00C36B7A"/>
    <w:rsid w:val="00D161B0"/>
    <w:rsid w:val="00D7724D"/>
    <w:rsid w:val="00EB12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D161B0"/>
    <w:pPr>
      <w:spacing w:before="100" w:beforeAutospacing="1" w:after="100" w:afterAutospacing="1" w:line="240" w:lineRule="auto"/>
      <w:outlineLvl w:val="1"/>
    </w:pPr>
    <w:rPr>
      <w:rFonts w:eastAsia="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161B0"/>
    <w:rPr>
      <w:rFonts w:eastAsia="Times New Roman" w:cs="Times New Roman"/>
      <w:b/>
      <w:bCs/>
      <w:sz w:val="36"/>
      <w:szCs w:val="36"/>
      <w:lang w:eastAsia="hu-HU"/>
    </w:rPr>
  </w:style>
  <w:style w:type="paragraph" w:styleId="NormlWeb">
    <w:name w:val="Normal (Web)"/>
    <w:basedOn w:val="Norml"/>
    <w:uiPriority w:val="99"/>
    <w:semiHidden/>
    <w:unhideWhenUsed/>
    <w:rsid w:val="00D161B0"/>
    <w:pPr>
      <w:spacing w:before="100" w:beforeAutospacing="1" w:after="100" w:afterAutospacing="1" w:line="240" w:lineRule="auto"/>
    </w:pPr>
    <w:rPr>
      <w:rFonts w:eastAsia="Times New Roman" w:cs="Times New Roman"/>
      <w:sz w:val="24"/>
      <w:szCs w:val="24"/>
      <w:lang w:eastAsia="hu-HU"/>
    </w:rPr>
  </w:style>
  <w:style w:type="character" w:customStyle="1" w:styleId="apple-converted-space">
    <w:name w:val="apple-converted-space"/>
    <w:basedOn w:val="Bekezdsalapbettpusa"/>
    <w:rsid w:val="00D161B0"/>
  </w:style>
  <w:style w:type="character" w:styleId="Kiemels2">
    <w:name w:val="Strong"/>
    <w:basedOn w:val="Bekezdsalapbettpusa"/>
    <w:uiPriority w:val="22"/>
    <w:qFormat/>
    <w:rsid w:val="00D161B0"/>
    <w:rPr>
      <w:b/>
      <w:bCs/>
    </w:rPr>
  </w:style>
  <w:style w:type="character" w:styleId="Kiemels">
    <w:name w:val="Emphasis"/>
    <w:basedOn w:val="Bekezdsalapbettpusa"/>
    <w:uiPriority w:val="20"/>
    <w:qFormat/>
    <w:rsid w:val="00D161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D161B0"/>
    <w:pPr>
      <w:spacing w:before="100" w:beforeAutospacing="1" w:after="100" w:afterAutospacing="1" w:line="240" w:lineRule="auto"/>
      <w:outlineLvl w:val="1"/>
    </w:pPr>
    <w:rPr>
      <w:rFonts w:eastAsia="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161B0"/>
    <w:rPr>
      <w:rFonts w:eastAsia="Times New Roman" w:cs="Times New Roman"/>
      <w:b/>
      <w:bCs/>
      <w:sz w:val="36"/>
      <w:szCs w:val="36"/>
      <w:lang w:eastAsia="hu-HU"/>
    </w:rPr>
  </w:style>
  <w:style w:type="paragraph" w:styleId="NormlWeb">
    <w:name w:val="Normal (Web)"/>
    <w:basedOn w:val="Norml"/>
    <w:uiPriority w:val="99"/>
    <w:semiHidden/>
    <w:unhideWhenUsed/>
    <w:rsid w:val="00D161B0"/>
    <w:pPr>
      <w:spacing w:before="100" w:beforeAutospacing="1" w:after="100" w:afterAutospacing="1" w:line="240" w:lineRule="auto"/>
    </w:pPr>
    <w:rPr>
      <w:rFonts w:eastAsia="Times New Roman" w:cs="Times New Roman"/>
      <w:sz w:val="24"/>
      <w:szCs w:val="24"/>
      <w:lang w:eastAsia="hu-HU"/>
    </w:rPr>
  </w:style>
  <w:style w:type="character" w:customStyle="1" w:styleId="apple-converted-space">
    <w:name w:val="apple-converted-space"/>
    <w:basedOn w:val="Bekezdsalapbettpusa"/>
    <w:rsid w:val="00D161B0"/>
  </w:style>
  <w:style w:type="character" w:styleId="Kiemels2">
    <w:name w:val="Strong"/>
    <w:basedOn w:val="Bekezdsalapbettpusa"/>
    <w:uiPriority w:val="22"/>
    <w:qFormat/>
    <w:rsid w:val="00D161B0"/>
    <w:rPr>
      <w:b/>
      <w:bCs/>
    </w:rPr>
  </w:style>
  <w:style w:type="character" w:styleId="Kiemels">
    <w:name w:val="Emphasis"/>
    <w:basedOn w:val="Bekezdsalapbettpusa"/>
    <w:uiPriority w:val="20"/>
    <w:qFormat/>
    <w:rsid w:val="00D1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9055">
      <w:bodyDiv w:val="1"/>
      <w:marLeft w:val="0"/>
      <w:marRight w:val="0"/>
      <w:marTop w:val="0"/>
      <w:marBottom w:val="0"/>
      <w:divBdr>
        <w:top w:val="none" w:sz="0" w:space="0" w:color="auto"/>
        <w:left w:val="none" w:sz="0" w:space="0" w:color="auto"/>
        <w:bottom w:val="none" w:sz="0" w:space="0" w:color="auto"/>
        <w:right w:val="none" w:sz="0" w:space="0" w:color="auto"/>
      </w:divBdr>
      <w:divsChild>
        <w:div w:id="1532302189">
          <w:marLeft w:val="0"/>
          <w:marRight w:val="0"/>
          <w:marTop w:val="0"/>
          <w:marBottom w:val="0"/>
          <w:divBdr>
            <w:top w:val="none" w:sz="0" w:space="0" w:color="auto"/>
            <w:left w:val="none" w:sz="0" w:space="0" w:color="auto"/>
            <w:bottom w:val="none" w:sz="0" w:space="0" w:color="auto"/>
            <w:right w:val="none" w:sz="0" w:space="0" w:color="auto"/>
          </w:divBdr>
          <w:divsChild>
            <w:div w:id="1896038050">
              <w:marLeft w:val="0"/>
              <w:marRight w:val="0"/>
              <w:marTop w:val="0"/>
              <w:marBottom w:val="0"/>
              <w:divBdr>
                <w:top w:val="none" w:sz="0" w:space="0" w:color="auto"/>
                <w:left w:val="none" w:sz="0" w:space="0" w:color="auto"/>
                <w:bottom w:val="none" w:sz="0" w:space="0" w:color="auto"/>
                <w:right w:val="none" w:sz="0" w:space="0" w:color="auto"/>
              </w:divBdr>
              <w:divsChild>
                <w:div w:id="316033492">
                  <w:marLeft w:val="0"/>
                  <w:marRight w:val="0"/>
                  <w:marTop w:val="0"/>
                  <w:marBottom w:val="0"/>
                  <w:divBdr>
                    <w:top w:val="none" w:sz="0" w:space="0" w:color="auto"/>
                    <w:left w:val="none" w:sz="0" w:space="0" w:color="auto"/>
                    <w:bottom w:val="none" w:sz="0" w:space="0" w:color="auto"/>
                    <w:right w:val="none" w:sz="0" w:space="0" w:color="auto"/>
                  </w:divBdr>
                  <w:divsChild>
                    <w:div w:id="21007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1521</Words>
  <Characters>10497</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marcsi</dc:creator>
  <cp:lastModifiedBy>marcsi</cp:lastModifiedBy>
  <cp:revision>4</cp:revision>
  <cp:lastPrinted>2015-04-15T08:26:00Z</cp:lastPrinted>
  <dcterms:created xsi:type="dcterms:W3CDTF">2015-04-15T08:24:00Z</dcterms:created>
  <dcterms:modified xsi:type="dcterms:W3CDTF">2015-05-06T12:02:00Z</dcterms:modified>
</cp:coreProperties>
</file>